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A93" w:rsidRPr="007F5E06" w:rsidRDefault="00DD3A93" w:rsidP="008753ED">
      <w:pPr>
        <w:spacing w:after="0"/>
        <w:ind w:firstLine="567"/>
        <w:jc w:val="center"/>
        <w:rPr>
          <w:rFonts w:ascii="Arial" w:hAnsi="Arial" w:cs="Arial"/>
          <w:b/>
          <w:noProof/>
          <w:color w:val="C00000"/>
          <w:szCs w:val="28"/>
          <w:lang w:val="uz-Cyrl-UZ"/>
        </w:rPr>
      </w:pPr>
      <w:r w:rsidRPr="007F5E06">
        <w:rPr>
          <w:rFonts w:ascii="Arial" w:hAnsi="Arial" w:cs="Arial"/>
          <w:b/>
          <w:noProof/>
          <w:color w:val="0070C0"/>
          <w:szCs w:val="28"/>
          <w:lang w:val="uz-Cyrl-UZ"/>
        </w:rPr>
        <w:t xml:space="preserve">CSR hamda ESG tamoyili boʻyicha hisobotni shakllantirish va oshkor qilish amaliyotini joriy qilish boʻyicha tavsiya etiladigan </w:t>
      </w:r>
      <w:r w:rsidRPr="007F5E06">
        <w:rPr>
          <w:rFonts w:ascii="Arial" w:hAnsi="Arial" w:cs="Arial"/>
          <w:b/>
          <w:noProof/>
          <w:color w:val="0070C0"/>
          <w:szCs w:val="28"/>
          <w:lang w:val="uz-Cyrl-UZ"/>
        </w:rPr>
        <w:br/>
      </w:r>
      <w:r w:rsidR="00CA0D1F" w:rsidRPr="007F5E06">
        <w:rPr>
          <w:rFonts w:ascii="Arial" w:hAnsi="Arial" w:cs="Arial"/>
          <w:b/>
          <w:noProof/>
          <w:color w:val="C00000"/>
          <w:szCs w:val="28"/>
          <w:lang w:val="uz-Cyrl-UZ"/>
        </w:rPr>
        <w:t>CHORA-TADBIRLAR</w:t>
      </w:r>
    </w:p>
    <w:p w:rsidR="00DD3A93" w:rsidRPr="007F5E06" w:rsidRDefault="00DD3A93" w:rsidP="008753ED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</w:p>
    <w:p w:rsidR="00DD3A93" w:rsidRPr="007F5E06" w:rsidRDefault="00DD3A93" w:rsidP="008753ED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7F5E06">
        <w:rPr>
          <w:rFonts w:ascii="Arial" w:hAnsi="Arial" w:cs="Arial"/>
          <w:noProof/>
          <w:szCs w:val="28"/>
          <w:lang w:val="uz-Cyrl-UZ"/>
        </w:rPr>
        <w:t xml:space="preserve">1. CSR hamda ESG tamoyillarini korxonada joriy etish boʻyicha </w:t>
      </w:r>
      <w:r w:rsidRPr="007F5E06">
        <w:rPr>
          <w:rFonts w:ascii="Arial" w:hAnsi="Arial" w:cs="Arial"/>
          <w:b/>
          <w:noProof/>
          <w:szCs w:val="28"/>
          <w:lang w:val="uz-Cyrl-UZ"/>
        </w:rPr>
        <w:t>“yoʻl xaritasini” tasdiqlash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. Bunda: </w:t>
      </w: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7F5E06">
        <w:rPr>
          <w:rFonts w:ascii="Arial" w:hAnsi="Arial" w:cs="Arial"/>
          <w:noProof/>
          <w:szCs w:val="28"/>
          <w:lang w:val="uz-Cyrl-UZ"/>
        </w:rPr>
        <w:t xml:space="preserve">korxona tomonidan CSR hamda ESG tamoyillarini nazarda tutuvchi, korxonalarning oʻrta va uzoq muddatli </w:t>
      </w:r>
      <w:r w:rsidRPr="007F5E06">
        <w:rPr>
          <w:rFonts w:ascii="Arial" w:hAnsi="Arial" w:cs="Arial"/>
          <w:b/>
          <w:noProof/>
          <w:szCs w:val="28"/>
          <w:lang w:val="uz-Cyrl-UZ"/>
        </w:rPr>
        <w:t>strategiyalarini ishlab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chiqish </w:t>
      </w:r>
      <w:r w:rsidRPr="007F5E06">
        <w:rPr>
          <w:rFonts w:ascii="Arial" w:hAnsi="Arial" w:cs="Arial"/>
          <w:i/>
          <w:noProof/>
          <w:szCs w:val="28"/>
          <w:lang w:val="uz-Cyrl-UZ"/>
        </w:rPr>
        <w:t>(zaruratga qarab, manfaatdor vazirlik va idoralar</w:t>
      </w:r>
      <w:r w:rsidRPr="007F5E06">
        <w:rPr>
          <w:rStyle w:val="a8"/>
          <w:rFonts w:ascii="Arial" w:hAnsi="Arial" w:cs="Arial"/>
          <w:i/>
          <w:noProof/>
          <w:szCs w:val="28"/>
          <w:lang w:val="uz-Cyrl-UZ"/>
        </w:rPr>
        <w:footnoteReference w:id="1"/>
      </w:r>
      <w:r w:rsidRPr="007F5E06">
        <w:rPr>
          <w:rFonts w:ascii="Arial" w:hAnsi="Arial" w:cs="Arial"/>
          <w:i/>
          <w:noProof/>
          <w:szCs w:val="28"/>
          <w:lang w:val="uz-Cyrl-UZ"/>
        </w:rPr>
        <w:t xml:space="preserve"> bilan kelishilgan holda)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</w:t>
      </w:r>
      <w:r w:rsidRPr="007F5E06">
        <w:rPr>
          <w:rFonts w:ascii="Arial" w:hAnsi="Arial" w:cs="Arial"/>
          <w:noProof/>
          <w:szCs w:val="28"/>
          <w:lang w:val="uz-Cyrl-UZ"/>
        </w:rPr>
        <w:br/>
        <w:t xml:space="preserve">va boshqaruv organlarida tasdiqlash; </w:t>
      </w:r>
    </w:p>
    <w:p w:rsidR="00DD3A93" w:rsidRPr="007F5E06" w:rsidRDefault="00DD3A93" w:rsidP="008753ED">
      <w:pPr>
        <w:spacing w:after="0"/>
        <w:ind w:firstLine="567"/>
        <w:jc w:val="both"/>
        <w:rPr>
          <w:noProof/>
          <w:lang w:val="uz-Cyrl-UZ"/>
        </w:rPr>
      </w:pPr>
      <w:r w:rsidRPr="007F5E06">
        <w:rPr>
          <w:rFonts w:ascii="Arial" w:hAnsi="Arial" w:cs="Arial"/>
          <w:noProof/>
          <w:szCs w:val="28"/>
          <w:lang w:val="uz-Cyrl-UZ"/>
        </w:rPr>
        <w:t xml:space="preserve">Korxonada CSR va ESG strategiyasining ijrosini monitoring qilish, hisobotlarni shakllashtirish va belgilangan tartibda oshkor etish boʻyicha </w:t>
      </w:r>
      <w:r w:rsidRPr="007F5E06">
        <w:rPr>
          <w:rFonts w:ascii="Arial" w:hAnsi="Arial" w:cs="Arial"/>
          <w:b/>
          <w:noProof/>
          <w:szCs w:val="28"/>
          <w:lang w:val="uz-Cyrl-UZ"/>
        </w:rPr>
        <w:t>masʼul boʻlinmani belgilash</w:t>
      </w:r>
      <w:r w:rsidRPr="007F5E06">
        <w:rPr>
          <w:rFonts w:ascii="Arial" w:hAnsi="Arial" w:cs="Arial"/>
          <w:noProof/>
          <w:szCs w:val="28"/>
          <w:lang w:val="uz-Cyrl-UZ"/>
        </w:rPr>
        <w:t>;</w:t>
      </w:r>
    </w:p>
    <w:p w:rsidR="00DD3A93" w:rsidRPr="007F5E06" w:rsidRDefault="00DD3A93" w:rsidP="008753ED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7F5E06">
        <w:rPr>
          <w:rFonts w:ascii="Arial" w:hAnsi="Arial" w:cs="Arial"/>
          <w:noProof/>
          <w:szCs w:val="28"/>
          <w:lang w:val="uz-Cyrl-UZ"/>
        </w:rPr>
        <w:t xml:space="preserve">CSR va ESG tamoyillarini nazarda tutuvchi strategiyalar ijrosi </w:t>
      </w:r>
      <w:r w:rsidRPr="007F5E06">
        <w:rPr>
          <w:rFonts w:ascii="Arial" w:hAnsi="Arial" w:cs="Arial"/>
          <w:b/>
          <w:noProof/>
          <w:szCs w:val="28"/>
          <w:lang w:val="uz-Cyrl-UZ"/>
        </w:rPr>
        <w:t>holatini har chorak yakuni boʻyicha kuzatuv kengashi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majlislarida eshitib borish hamda yil yakuni boʻyicha hisobotni </w:t>
      </w:r>
      <w:r w:rsidRPr="007F5E06">
        <w:rPr>
          <w:rFonts w:ascii="Arial" w:hAnsi="Arial" w:cs="Arial"/>
          <w:b/>
          <w:noProof/>
          <w:szCs w:val="28"/>
          <w:lang w:val="uz-Cyrl-UZ"/>
        </w:rPr>
        <w:t>aksiyadorlar umumiy yigʻilishi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muhokamasiga kiritish va boshqalar.</w:t>
      </w:r>
    </w:p>
    <w:p w:rsidR="00DD3A93" w:rsidRPr="007F5E06" w:rsidRDefault="00DD3A93" w:rsidP="008753ED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7F5E06">
        <w:rPr>
          <w:rFonts w:ascii="Arial" w:hAnsi="Arial" w:cs="Arial"/>
          <w:noProof/>
          <w:szCs w:val="28"/>
          <w:lang w:val="uz-Cyrl-UZ"/>
        </w:rPr>
        <w:t xml:space="preserve">2. Korxona tomonidan taqdim qilinayotgan </w:t>
      </w:r>
      <w:r w:rsidRPr="007F5E06">
        <w:rPr>
          <w:rFonts w:ascii="Arial" w:hAnsi="Arial" w:cs="Arial"/>
          <w:b/>
          <w:noProof/>
          <w:szCs w:val="28"/>
          <w:lang w:val="uz-Cyrl-UZ"/>
        </w:rPr>
        <w:t>maʼlumotlarning haqqoniyligini taʼminlash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maqsadida, hisobotlar mustaqil audit tekshiruvidan oʻtkazilishini belgilash.</w:t>
      </w:r>
    </w:p>
    <w:p w:rsidR="00DD3A93" w:rsidRPr="007F5E06" w:rsidRDefault="00DD3A93" w:rsidP="008753ED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7F5E06">
        <w:rPr>
          <w:rFonts w:ascii="Arial" w:hAnsi="Arial" w:cs="Arial"/>
          <w:noProof/>
          <w:szCs w:val="28"/>
          <w:lang w:val="uz-Cyrl-UZ"/>
        </w:rPr>
        <w:t xml:space="preserve">3. Hisobotlar </w:t>
      </w:r>
      <w:r w:rsidRPr="007F5E06">
        <w:rPr>
          <w:rFonts w:ascii="Arial" w:hAnsi="Arial" w:cs="Arial"/>
          <w:b/>
          <w:noProof/>
          <w:szCs w:val="28"/>
          <w:lang w:val="uz-Cyrl-UZ"/>
        </w:rPr>
        <w:t>jamoatchilik,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</w:t>
      </w:r>
      <w:r w:rsidRPr="007F5E06">
        <w:rPr>
          <w:rFonts w:ascii="Arial" w:hAnsi="Arial" w:cs="Arial"/>
          <w:b/>
          <w:noProof/>
          <w:szCs w:val="28"/>
          <w:lang w:val="uz-Cyrl-UZ"/>
        </w:rPr>
        <w:t>saloxiyatli investorlar va boshqa manfaatdor tomonlar uchun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mavjud boʻlishini taʼminlash maqsadida ular korxonalarning rasmiy veb-saytlarida, Korporativ axborot yagona portalida hamda Davlat aktivlarini boshqarish agentligining maxsus tizimida joylashtirilishini belgilash (hisobot shakli ilova qilinadi).</w:t>
      </w:r>
    </w:p>
    <w:p w:rsidR="00DD3A93" w:rsidRPr="007F5E06" w:rsidRDefault="00DD3A93" w:rsidP="008753ED">
      <w:pPr>
        <w:spacing w:after="0"/>
        <w:ind w:firstLine="567"/>
        <w:jc w:val="both"/>
        <w:rPr>
          <w:rFonts w:ascii="Arial" w:hAnsi="Arial" w:cs="Arial"/>
          <w:noProof/>
          <w:szCs w:val="28"/>
          <w:lang w:val="uz-Cyrl-UZ"/>
        </w:rPr>
      </w:pPr>
      <w:r w:rsidRPr="007F5E06">
        <w:rPr>
          <w:rFonts w:ascii="Arial" w:hAnsi="Arial" w:cs="Arial"/>
          <w:noProof/>
          <w:szCs w:val="28"/>
          <w:lang w:val="uz-Cyrl-UZ"/>
        </w:rPr>
        <w:t xml:space="preserve">4. Hisobotlarni yuqorida qayd etilgan internet manbalarida va belgilangan muddatlarda joylashtirilishini nazorat qilib borish vazifasini </w:t>
      </w:r>
      <w:r w:rsidRPr="007F5E06">
        <w:rPr>
          <w:rFonts w:ascii="Arial" w:hAnsi="Arial" w:cs="Arial"/>
          <w:b/>
          <w:noProof/>
          <w:szCs w:val="28"/>
          <w:lang w:val="uz-Cyrl-UZ"/>
        </w:rPr>
        <w:t>komplayens (yoki ichki audit) xizmati</w:t>
      </w:r>
      <w:r w:rsidRPr="007F5E06">
        <w:rPr>
          <w:rFonts w:ascii="Arial" w:hAnsi="Arial" w:cs="Arial"/>
          <w:noProof/>
          <w:szCs w:val="28"/>
          <w:lang w:val="uz-Cyrl-UZ"/>
        </w:rPr>
        <w:t xml:space="preserve"> zimmasiga yuklash.</w:t>
      </w: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spacing w:after="80"/>
        <w:ind w:firstLine="567"/>
        <w:jc w:val="both"/>
        <w:rPr>
          <w:rFonts w:ascii="Arial" w:hAnsi="Arial" w:cs="Arial"/>
          <w:b/>
          <w:noProof/>
          <w:szCs w:val="28"/>
          <w:lang w:val="uz-Cyrl-UZ"/>
        </w:rPr>
      </w:pPr>
    </w:p>
    <w:p w:rsidR="00DD3A93" w:rsidRPr="007F5E06" w:rsidRDefault="00DD3A93" w:rsidP="008753ED">
      <w:pPr>
        <w:jc w:val="center"/>
        <w:rPr>
          <w:rFonts w:ascii="Arial" w:hAnsi="Arial" w:cs="Arial"/>
          <w:b/>
          <w:noProof/>
          <w:lang w:val="uz-Cyrl-UZ"/>
        </w:rPr>
      </w:pPr>
      <w:r w:rsidRPr="007F5E06">
        <w:rPr>
          <w:rFonts w:ascii="Arial" w:hAnsi="Arial" w:cs="Arial"/>
          <w:b/>
          <w:noProof/>
          <w:color w:val="0070C0"/>
          <w:lang w:val="uz-Cyrl-UZ"/>
        </w:rPr>
        <w:lastRenderedPageBreak/>
        <w:t xml:space="preserve">Korporativ ijtimoiy masʼuliyat (CSR) va ekologik, ijtimoiy va korporativ boshqaruv (ESG) boʻyicha </w:t>
      </w:r>
      <w:r w:rsidRPr="007F5E06">
        <w:rPr>
          <w:rFonts w:ascii="Arial" w:hAnsi="Arial" w:cs="Arial"/>
          <w:b/>
          <w:noProof/>
          <w:color w:val="0070C0"/>
          <w:lang w:val="uz-Cyrl-UZ"/>
        </w:rPr>
        <w:br/>
      </w:r>
      <w:r w:rsidRPr="007F5E06">
        <w:rPr>
          <w:rFonts w:ascii="Arial" w:hAnsi="Arial" w:cs="Arial"/>
          <w:b/>
          <w:noProof/>
          <w:color w:val="C00000"/>
          <w:lang w:val="uz-Cyrl-UZ"/>
        </w:rPr>
        <w:t>namunaviy hisobot shakli</w:t>
      </w:r>
    </w:p>
    <w:p w:rsidR="00DD3A93" w:rsidRPr="007F5E06" w:rsidRDefault="00DD3A93" w:rsidP="008753ED">
      <w:pPr>
        <w:rPr>
          <w:rFonts w:ascii="Arial" w:hAnsi="Arial" w:cs="Arial"/>
          <w:noProof/>
          <w:lang w:val="uz-Cyrl-UZ"/>
        </w:rPr>
      </w:pPr>
    </w:p>
    <w:p w:rsidR="00DD3A93" w:rsidRPr="007F5E06" w:rsidRDefault="00DD3A93" w:rsidP="008753ED">
      <w:pPr>
        <w:ind w:firstLine="567"/>
        <w:rPr>
          <w:rFonts w:ascii="Arial" w:hAnsi="Arial" w:cs="Arial"/>
          <w:b/>
          <w:noProof/>
          <w:lang w:val="uz-Cyrl-UZ"/>
        </w:rPr>
      </w:pPr>
      <w:r w:rsidRPr="007F5E06">
        <w:rPr>
          <w:rFonts w:ascii="Arial" w:hAnsi="Arial" w:cs="Arial"/>
          <w:b/>
          <w:noProof/>
          <w:lang w:val="uz-Cyrl-UZ"/>
        </w:rPr>
        <w:t>Hisobotning kirish qismi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i/>
          <w:noProof/>
          <w:lang w:val="uz-Cyrl-UZ"/>
        </w:rPr>
      </w:pPr>
      <w:r w:rsidRPr="007F5E06">
        <w:rPr>
          <w:rFonts w:ascii="Arial" w:hAnsi="Arial" w:cs="Arial"/>
          <w:i/>
          <w:noProof/>
          <w:lang w:val="uz-Cyrl-UZ"/>
        </w:rPr>
        <w:t>Mazkur boʻlimda hisobot yilida jamiyatning korporativ ijtimoiy masʼuliyat (CSR) sohasida hamda ESG (Environmental, Social, Governance) tamoyillari asosida amalga oshirilgan chora-tadbirlari, jamiyatning ushbu yoʻnalishdagi rejalari va oldida turgan maqsadlari toʻgʻrisidagi umumiy axborot keltiriladi.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7F5E06">
        <w:rPr>
          <w:rFonts w:ascii="Arial" w:hAnsi="Arial" w:cs="Arial"/>
          <w:b/>
          <w:noProof/>
          <w:color w:val="0070C0"/>
          <w:lang w:val="uz-Cyrl-UZ"/>
        </w:rPr>
        <w:t>I. Jamiyat toʻgʻrisidagi asosiy maʼlumotlar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1.1. Jamiyat faoliyati toʻgʻrisida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en-US"/>
        </w:rPr>
      </w:pPr>
      <w:r w:rsidRPr="007F5E06">
        <w:rPr>
          <w:rFonts w:ascii="Arial" w:hAnsi="Arial" w:cs="Arial"/>
          <w:noProof/>
          <w:lang w:val="uz-Cyrl-UZ"/>
        </w:rPr>
        <w:t>1.2. Strategik maqsadlar va korporativ ijtimoiy masʼuliyat tamoyillari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color w:val="0070C0"/>
          <w:lang w:val="en-US"/>
        </w:rPr>
      </w:pPr>
      <w:r w:rsidRPr="007F5E06">
        <w:rPr>
          <w:rFonts w:ascii="Arial" w:hAnsi="Arial" w:cs="Arial"/>
          <w:b/>
          <w:noProof/>
          <w:color w:val="0070C0"/>
          <w:lang w:val="en-US"/>
        </w:rPr>
        <w:t xml:space="preserve">II. </w:t>
      </w:r>
      <w:r w:rsidRPr="007F5E06">
        <w:rPr>
          <w:rFonts w:ascii="Arial" w:hAnsi="Arial" w:cs="Arial"/>
          <w:b/>
          <w:noProof/>
          <w:color w:val="0070C0"/>
          <w:lang w:val="uz-Cyrl-UZ"/>
        </w:rPr>
        <w:t>Jamiyatning barqaror rivojlanish strategiyasi</w:t>
      </w:r>
      <w:r w:rsidRPr="007F5E06">
        <w:rPr>
          <w:rFonts w:ascii="Arial" w:hAnsi="Arial" w:cs="Arial"/>
          <w:b/>
          <w:noProof/>
          <w:color w:val="0070C0"/>
          <w:lang w:val="en-US"/>
        </w:rPr>
        <w:t xml:space="preserve"> (CSR </w:t>
      </w:r>
      <w:r w:rsidRPr="007F5E06">
        <w:rPr>
          <w:rFonts w:ascii="Arial" w:hAnsi="Arial" w:cs="Arial"/>
          <w:b/>
          <w:noProof/>
          <w:color w:val="0070C0"/>
          <w:lang w:val="uz-Cyrl-UZ"/>
        </w:rPr>
        <w:t xml:space="preserve">va </w:t>
      </w:r>
      <w:r w:rsidRPr="007F5E06">
        <w:rPr>
          <w:rFonts w:ascii="Arial" w:hAnsi="Arial" w:cs="Arial"/>
          <w:b/>
          <w:noProof/>
          <w:color w:val="0070C0"/>
          <w:lang w:val="en-US"/>
        </w:rPr>
        <w:t xml:space="preserve">ESG) </w:t>
      </w:r>
      <w:r w:rsidRPr="007F5E06">
        <w:rPr>
          <w:rFonts w:ascii="Arial" w:hAnsi="Arial" w:cs="Arial"/>
          <w:b/>
          <w:noProof/>
          <w:color w:val="0070C0"/>
          <w:lang w:val="uz-Cyrl-UZ"/>
        </w:rPr>
        <w:t>toʻgʻrisidagi maʼlumotlar</w:t>
      </w:r>
      <w:r w:rsidRPr="007F5E06">
        <w:rPr>
          <w:rFonts w:ascii="Arial" w:hAnsi="Arial" w:cs="Arial"/>
          <w:b/>
          <w:noProof/>
          <w:color w:val="0070C0"/>
          <w:lang w:val="en-US"/>
        </w:rPr>
        <w:t>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Strategiyaning asosiy jihatlari, strategiya dorirasida amalga oshirilishi koʻzda tutilgan ijtimoiy va ekologik masalalar va maqsadlar. Shu jumladan: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lang w:val="uz-Cyrl-UZ"/>
        </w:rPr>
      </w:pPr>
      <w:r w:rsidRPr="007F5E06">
        <w:rPr>
          <w:rFonts w:ascii="Arial" w:hAnsi="Arial" w:cs="Arial"/>
          <w:b/>
          <w:noProof/>
          <w:lang w:val="uz-Cyrl-UZ"/>
        </w:rPr>
        <w:t>2.1. Atrof-muhit, ekologiya (Environmental):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2.1.1. Atrof muhitga zararli taʼsirni qisqartirish;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2.1.2 Ekologik toza texnologiyalar va materiallardan foydalanish;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lang w:val="uz-Cyrl-UZ"/>
        </w:rPr>
      </w:pPr>
      <w:r w:rsidRPr="007F5E06">
        <w:rPr>
          <w:rFonts w:ascii="Arial" w:hAnsi="Arial" w:cs="Arial"/>
          <w:b/>
          <w:noProof/>
          <w:lang w:val="uz-Cyrl-UZ"/>
        </w:rPr>
        <w:t>2.2. Ijtimoiy masʼuliyat (Social):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2.2.1. Xodimlar xavfsizligi va sogʻligini taʼminlash dasturi;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2.2.2. Ijtimoiy loyihalar va homiylik xayriyalarida ishtirok;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2.2.3. Hisobotga taalluqli masalalar boʻyicha manfaatdor tomonlar bilan kelishuvlar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lang w:val="uz-Cyrl-UZ"/>
        </w:rPr>
      </w:pPr>
      <w:r w:rsidRPr="007F5E06">
        <w:rPr>
          <w:rFonts w:ascii="Arial" w:hAnsi="Arial" w:cs="Arial"/>
          <w:b/>
          <w:noProof/>
          <w:lang w:val="uz-Cyrl-UZ"/>
        </w:rPr>
        <w:t>2.3. Korporativ boshqaruv (Governance):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2.3.1. Korporativ boshqaruv qoidalari (Kodeksi)ga rioya qilish holati;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2.3.2. Korporativ boshqaruv va jamiyat faoliyatida oshkoralikni taʼminlash;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2.3.</w:t>
      </w:r>
      <w:r w:rsidR="007F5E06" w:rsidRPr="007F5E06">
        <w:rPr>
          <w:rFonts w:ascii="Arial" w:hAnsi="Arial" w:cs="Arial"/>
          <w:noProof/>
          <w:lang w:val="uz-Cyrl-UZ"/>
        </w:rPr>
        <w:t>3</w:t>
      </w:r>
      <w:r w:rsidRPr="007F5E06">
        <w:rPr>
          <w:rFonts w:ascii="Arial" w:hAnsi="Arial" w:cs="Arial"/>
          <w:noProof/>
          <w:lang w:val="uz-Cyrl-UZ"/>
        </w:rPr>
        <w:t>.</w:t>
      </w:r>
      <w:r w:rsidR="007F5E06" w:rsidRPr="007F5E06">
        <w:rPr>
          <w:rFonts w:ascii="Arial" w:hAnsi="Arial" w:cs="Arial"/>
          <w:noProof/>
          <w:lang w:val="uz-Cyrl-UZ"/>
        </w:rPr>
        <w:t> </w:t>
      </w:r>
      <w:r w:rsidRPr="007F5E06">
        <w:rPr>
          <w:rFonts w:ascii="Arial" w:hAnsi="Arial" w:cs="Arial"/>
          <w:noProof/>
          <w:lang w:val="uz-Cyrl-UZ"/>
        </w:rPr>
        <w:t>Etik standartlar hamda korrupsiyaga qarshi kurashish siyosati;</w:t>
      </w:r>
    </w:p>
    <w:p w:rsidR="007F5E06" w:rsidRPr="007F5E06" w:rsidRDefault="007F5E06" w:rsidP="007F5E06">
      <w:pPr>
        <w:ind w:firstLine="567"/>
        <w:jc w:val="both"/>
      </w:pPr>
      <w:r w:rsidRPr="007F5E06">
        <w:rPr>
          <w:rFonts w:ascii="Arial" w:hAnsi="Arial" w:cs="Arial"/>
          <w:noProof/>
          <w:lang w:val="uz-Cyrl-UZ"/>
        </w:rPr>
        <w:t xml:space="preserve">2.3.4. Steykxolderlar </w:t>
      </w:r>
      <w:r w:rsidRPr="007F5E06">
        <w:rPr>
          <w:rFonts w:ascii="Arial" w:hAnsi="Arial" w:cs="Arial"/>
          <w:i/>
          <w:noProof/>
          <w:lang w:val="uz-Cyrl-UZ"/>
        </w:rPr>
        <w:t>(jamiyat faoliyatidan manfaatdor shaxslar)</w:t>
      </w:r>
      <w:r w:rsidRPr="007F5E06">
        <w:rPr>
          <w:rFonts w:ascii="Arial" w:hAnsi="Arial" w:cs="Arial"/>
          <w:noProof/>
          <w:lang w:val="uz-Cyrl-UZ"/>
        </w:rPr>
        <w:t xml:space="preserve"> bilan adolatli munosabatlar oʻrnatish.</w:t>
      </w:r>
      <w:bookmarkStart w:id="0" w:name="_GoBack"/>
      <w:bookmarkEnd w:id="0"/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7F5E06">
        <w:rPr>
          <w:rFonts w:ascii="Arial" w:hAnsi="Arial" w:cs="Arial"/>
          <w:b/>
          <w:noProof/>
          <w:color w:val="0070C0"/>
          <w:lang w:val="uz-Cyrl-UZ"/>
        </w:rPr>
        <w:t>III. Yutuq va natijalar: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3.1. CSR- va ESG-strategiyalarni amalga oshirish koʻrsatkichlari;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3.2. Korporativ ijtimoiy masʼuliyat doirasida amalga oshirilgan loyihalar va tashabbuslar;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7F5E06">
        <w:rPr>
          <w:rFonts w:ascii="Arial" w:hAnsi="Arial" w:cs="Arial"/>
          <w:b/>
          <w:noProof/>
          <w:color w:val="0070C0"/>
          <w:lang w:val="uz-Cyrl-UZ"/>
        </w:rPr>
        <w:t>IV. Qiyinchiliklar va istiqbollar: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4.1. Jamiyat faoliyatida yuzaga kelgan muammolar va  qiyinchiliklar tahlili;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en-US"/>
        </w:rPr>
      </w:pPr>
      <w:r w:rsidRPr="007F5E06">
        <w:rPr>
          <w:rFonts w:ascii="Arial" w:hAnsi="Arial" w:cs="Arial"/>
          <w:noProof/>
          <w:lang w:val="uz-Cyrl-UZ"/>
        </w:rPr>
        <w:t>4.2. Jamiyatning CSR va ESG yoʻnalishlardagi faoliyatini yaxshilash va rivojlantirish</w:t>
      </w:r>
      <w:r w:rsidRPr="007F5E06">
        <w:rPr>
          <w:rFonts w:ascii="Arial" w:hAnsi="Arial" w:cs="Arial"/>
          <w:noProof/>
          <w:lang w:val="en-US"/>
        </w:rPr>
        <w:t>.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b/>
          <w:noProof/>
          <w:color w:val="0070C0"/>
          <w:lang w:val="uz-Cyrl-UZ"/>
        </w:rPr>
      </w:pPr>
      <w:r w:rsidRPr="007F5E06">
        <w:rPr>
          <w:rFonts w:ascii="Arial" w:hAnsi="Arial" w:cs="Arial"/>
          <w:b/>
          <w:noProof/>
          <w:color w:val="0070C0"/>
          <w:lang w:val="uz-Cyrl-UZ"/>
        </w:rPr>
        <w:t>V. Xulosa:</w:t>
      </w:r>
    </w:p>
    <w:p w:rsidR="00DD3A93" w:rsidRPr="007F5E06" w:rsidRDefault="00DD3A93" w:rsidP="008753ED">
      <w:pPr>
        <w:ind w:firstLine="567"/>
        <w:jc w:val="both"/>
        <w:rPr>
          <w:rFonts w:ascii="Arial" w:hAnsi="Arial" w:cs="Arial"/>
          <w:noProof/>
          <w:lang w:val="uz-Cyrl-UZ"/>
        </w:rPr>
      </w:pPr>
      <w:r w:rsidRPr="007F5E06">
        <w:rPr>
          <w:rFonts w:ascii="Arial" w:hAnsi="Arial" w:cs="Arial"/>
          <w:noProof/>
          <w:lang w:val="uz-Cyrl-UZ"/>
        </w:rPr>
        <w:t>Asosiy xulosalar</w:t>
      </w:r>
    </w:p>
    <w:p w:rsidR="00DD3A93" w:rsidRPr="007F5E06" w:rsidRDefault="00DD3A93" w:rsidP="008753ED">
      <w:pPr>
        <w:rPr>
          <w:rFonts w:ascii="Arial" w:hAnsi="Arial" w:cs="Arial"/>
          <w:i/>
          <w:noProof/>
          <w:lang w:val="uz-Cyrl-UZ"/>
        </w:rPr>
      </w:pPr>
    </w:p>
    <w:p w:rsidR="00DD3A93" w:rsidRPr="007F5E06" w:rsidRDefault="00F43360" w:rsidP="008753ED">
      <w:pPr>
        <w:rPr>
          <w:rFonts w:ascii="Arial" w:hAnsi="Arial" w:cs="Arial"/>
          <w:i/>
          <w:noProof/>
          <w:lang w:val="uz-Cyrl-UZ"/>
        </w:rPr>
      </w:pPr>
      <w:r w:rsidRPr="007F5E06">
        <w:rPr>
          <w:rFonts w:ascii="Arial" w:hAnsi="Arial" w:cs="Arial"/>
          <w:i/>
          <w:noProof/>
          <w:lang w:val="uz-Cyrl-U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-268149</wp:posOffset>
                </wp:positionH>
                <wp:positionV relativeFrom="paragraph">
                  <wp:posOffset>100152</wp:posOffset>
                </wp:positionV>
                <wp:extent cx="6415431" cy="7315"/>
                <wp:effectExtent l="0" t="0" r="23495" b="3111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5431" cy="7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1DA77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1pt,7.9pt" to="484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</w:p>
    <w:p w:rsidR="00DD3A93" w:rsidRPr="007F5E06" w:rsidRDefault="00DD3A93" w:rsidP="00F43360">
      <w:pPr>
        <w:shd w:val="clear" w:color="auto" w:fill="E2EFD9" w:themeFill="accent6" w:themeFillTint="33"/>
        <w:ind w:firstLine="567"/>
        <w:jc w:val="both"/>
        <w:rPr>
          <w:rFonts w:ascii="Arial" w:hAnsi="Arial" w:cs="Arial"/>
          <w:i/>
          <w:noProof/>
          <w:sz w:val="22"/>
          <w:lang w:val="uz-Cyrl-UZ"/>
        </w:rPr>
      </w:pPr>
      <w:r w:rsidRPr="007F5E06">
        <w:rPr>
          <w:rFonts w:ascii="Arial" w:hAnsi="Arial" w:cs="Arial"/>
          <w:i/>
          <w:noProof/>
          <w:sz w:val="22"/>
          <w:lang w:val="uz-Cyrl-UZ"/>
        </w:rPr>
        <w:t xml:space="preserve">Mazkur hisobotni Global tashabbuskorlik hisoboti (Global Reporting Initiative, </w:t>
      </w:r>
      <w:r w:rsidRPr="007F5E06">
        <w:rPr>
          <w:rFonts w:ascii="Arial" w:hAnsi="Arial" w:cs="Arial"/>
          <w:i/>
          <w:noProof/>
          <w:sz w:val="20"/>
          <w:lang w:val="uz-Cyrl-UZ"/>
        </w:rPr>
        <w:t xml:space="preserve">GRI) </w:t>
      </w:r>
      <w:r w:rsidRPr="007F5E06">
        <w:rPr>
          <w:rFonts w:ascii="Arial" w:hAnsi="Arial" w:cs="Arial"/>
          <w:i/>
          <w:noProof/>
          <w:sz w:val="22"/>
          <w:lang w:val="uz-Cyrl-UZ"/>
        </w:rPr>
        <w:t xml:space="preserve">asosida ishlab chiqish va </w:t>
      </w:r>
      <w:r w:rsidRPr="007F5E06">
        <w:rPr>
          <w:rFonts w:ascii="Arial" w:hAnsi="Arial" w:cs="Arial"/>
          <w:i/>
          <w:noProof/>
          <w:sz w:val="22"/>
          <w:lang w:val="en-US"/>
        </w:rPr>
        <w:t xml:space="preserve">eʻlon qilish </w:t>
      </w:r>
      <w:r w:rsidRPr="007F5E06">
        <w:rPr>
          <w:rFonts w:ascii="Arial" w:hAnsi="Arial" w:cs="Arial"/>
          <w:i/>
          <w:noProof/>
          <w:sz w:val="22"/>
          <w:lang w:val="uz-Cyrl-UZ"/>
        </w:rPr>
        <w:t>tavsiya etiladi.</w:t>
      </w:r>
    </w:p>
    <w:p w:rsidR="00DD3A93" w:rsidRPr="007F5E06" w:rsidRDefault="00DD3A93" w:rsidP="00F43360">
      <w:pPr>
        <w:shd w:val="clear" w:color="auto" w:fill="E2EFD9" w:themeFill="accent6" w:themeFillTint="33"/>
        <w:ind w:firstLine="567"/>
        <w:jc w:val="both"/>
        <w:rPr>
          <w:rFonts w:ascii="Arial" w:hAnsi="Arial" w:cs="Arial"/>
          <w:i/>
          <w:noProof/>
          <w:sz w:val="22"/>
          <w:lang w:val="uz-Cyrl-UZ"/>
        </w:rPr>
      </w:pPr>
      <w:r w:rsidRPr="007F5E06">
        <w:rPr>
          <w:rFonts w:ascii="Arial" w:hAnsi="Arial" w:cs="Arial"/>
          <w:i/>
          <w:noProof/>
          <w:sz w:val="22"/>
          <w:lang w:val="uz-Cyrl-UZ"/>
        </w:rPr>
        <w:t>Hisobot shakli jamiyatning xususiyatlariga qarab oʻzgartirilishi lozim.</w:t>
      </w:r>
    </w:p>
    <w:p w:rsidR="00DD3A93" w:rsidRPr="007F5E06" w:rsidRDefault="00DD3A93">
      <w:pPr>
        <w:rPr>
          <w:noProof/>
          <w:lang w:val="uz-Cyrl-UZ"/>
        </w:rPr>
      </w:pPr>
    </w:p>
    <w:sectPr w:rsidR="00DD3A93" w:rsidRPr="007F5E06" w:rsidSect="00F67EEF">
      <w:headerReference w:type="default" r:id="rId7"/>
      <w:pgSz w:w="11906" w:h="16838"/>
      <w:pgMar w:top="1134" w:right="850" w:bottom="1134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924" w:rsidRDefault="006B2924" w:rsidP="000D05D6">
      <w:pPr>
        <w:spacing w:after="0" w:line="240" w:lineRule="auto"/>
      </w:pPr>
      <w:r>
        <w:separator/>
      </w:r>
    </w:p>
  </w:endnote>
  <w:endnote w:type="continuationSeparator" w:id="0">
    <w:p w:rsidR="006B2924" w:rsidRDefault="006B2924" w:rsidP="000D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924" w:rsidRDefault="006B2924" w:rsidP="000D05D6">
      <w:pPr>
        <w:spacing w:after="0" w:line="240" w:lineRule="auto"/>
      </w:pPr>
      <w:r>
        <w:separator/>
      </w:r>
    </w:p>
  </w:footnote>
  <w:footnote w:type="continuationSeparator" w:id="0">
    <w:p w:rsidR="006B2924" w:rsidRDefault="006B2924" w:rsidP="000D05D6">
      <w:pPr>
        <w:spacing w:after="0" w:line="240" w:lineRule="auto"/>
      </w:pPr>
      <w:r>
        <w:continuationSeparator/>
      </w:r>
    </w:p>
  </w:footnote>
  <w:footnote w:id="1">
    <w:p w:rsidR="00DD3A93" w:rsidRPr="00232790" w:rsidRDefault="00DD3A93" w:rsidP="008753ED">
      <w:pPr>
        <w:pStyle w:val="a6"/>
        <w:rPr>
          <w:lang w:val="uz-Cyrl-UZ"/>
        </w:rPr>
      </w:pPr>
      <w:r>
        <w:rPr>
          <w:rStyle w:val="a8"/>
        </w:rPr>
        <w:footnoteRef/>
      </w:r>
      <w:r w:rsidRPr="00232790">
        <w:rPr>
          <w:lang w:val="uz-Cyrl-UZ"/>
        </w:rPr>
        <w:t xml:space="preserve"> </w:t>
      </w:r>
      <w:r>
        <w:rPr>
          <w:lang w:val="uz-Cyrl-UZ"/>
        </w:rPr>
        <w:t xml:space="preserve">Ijtimoiy masalalarni </w:t>
      </w:r>
      <w:r w:rsidRPr="00232790">
        <w:rPr>
          <w:lang w:val="uz-Cyrl-UZ"/>
        </w:rPr>
        <w:t>Ijtimoiy himoya milliy agentligi</w:t>
      </w:r>
      <w:r>
        <w:rPr>
          <w:lang w:val="uz-Cyrl-UZ"/>
        </w:rPr>
        <w:t xml:space="preserve"> bilan, ekologik masalalarni (SO2 emissiyasini qisqartirish, chiqindilarni boshqarish va hk) </w:t>
      </w:r>
      <w:r w:rsidRPr="00232790">
        <w:rPr>
          <w:lang w:val="uz-Cyrl-UZ"/>
        </w:rPr>
        <w:t>Ekologiya, atrof-muhitni muhofaza qilish va iqlim oʻzgarishi vazirligi</w:t>
      </w:r>
      <w:r>
        <w:rPr>
          <w:lang w:val="uz-Cyrl-UZ"/>
        </w:rPr>
        <w:t xml:space="preserve"> bilan.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1241332"/>
      <w:docPartObj>
        <w:docPartGallery w:val="Page Numbers (Top of Page)"/>
        <w:docPartUnique/>
      </w:docPartObj>
    </w:sdtPr>
    <w:sdtEndPr/>
    <w:sdtContent>
      <w:p w:rsidR="00F67EEF" w:rsidRDefault="00F67E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67EEF" w:rsidRDefault="00F67EE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51211"/>
    <w:multiLevelType w:val="hybridMultilevel"/>
    <w:tmpl w:val="9B90610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D6"/>
    <w:rsid w:val="000D05D6"/>
    <w:rsid w:val="000D0CE4"/>
    <w:rsid w:val="001E02A1"/>
    <w:rsid w:val="003051CD"/>
    <w:rsid w:val="0031520F"/>
    <w:rsid w:val="005A00D6"/>
    <w:rsid w:val="006B2924"/>
    <w:rsid w:val="00754E05"/>
    <w:rsid w:val="0078279A"/>
    <w:rsid w:val="00791F1C"/>
    <w:rsid w:val="007D0AD2"/>
    <w:rsid w:val="007F5E06"/>
    <w:rsid w:val="008545E7"/>
    <w:rsid w:val="00A73BBF"/>
    <w:rsid w:val="00B27D7A"/>
    <w:rsid w:val="00B46045"/>
    <w:rsid w:val="00BE58DF"/>
    <w:rsid w:val="00CA0D1F"/>
    <w:rsid w:val="00DC66F4"/>
    <w:rsid w:val="00DD3A93"/>
    <w:rsid w:val="00F43360"/>
    <w:rsid w:val="00F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485C23"/>
  <w15:chartTrackingRefBased/>
  <w15:docId w15:val="{7C2E9FE8-781D-45CD-BA72-695DB7D6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5D6"/>
    <w:pPr>
      <w:ind w:left="720"/>
      <w:contextualSpacing/>
    </w:pPr>
  </w:style>
  <w:style w:type="table" w:styleId="a4">
    <w:name w:val="Table Grid"/>
    <w:basedOn w:val="a1"/>
    <w:uiPriority w:val="39"/>
    <w:rsid w:val="000D05D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ndnote reference"/>
    <w:basedOn w:val="a0"/>
    <w:uiPriority w:val="99"/>
    <w:semiHidden/>
    <w:unhideWhenUsed/>
    <w:rsid w:val="000D05D6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0D05D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D05D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D05D6"/>
    <w:rPr>
      <w:vertAlign w:val="superscript"/>
    </w:rPr>
  </w:style>
  <w:style w:type="character" w:styleId="a9">
    <w:name w:val="Hyperlink"/>
    <w:basedOn w:val="a0"/>
    <w:uiPriority w:val="99"/>
    <w:unhideWhenUsed/>
    <w:rsid w:val="000D05D6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6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7EEF"/>
  </w:style>
  <w:style w:type="paragraph" w:styleId="ac">
    <w:name w:val="footer"/>
    <w:basedOn w:val="a"/>
    <w:link w:val="ad"/>
    <w:uiPriority w:val="99"/>
    <w:unhideWhenUsed/>
    <w:rsid w:val="00F67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7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Makhmud B. Ibragimov</dc:creator>
  <cp:keywords/>
  <dc:description/>
  <cp:lastModifiedBy>Makhmud B. Ibragimov</cp:lastModifiedBy>
  <cp:revision>5</cp:revision>
  <dcterms:created xsi:type="dcterms:W3CDTF">2025-02-25T10:30:00Z</dcterms:created>
  <dcterms:modified xsi:type="dcterms:W3CDTF">2025-03-05T14:07:00Z</dcterms:modified>
</cp:coreProperties>
</file>